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7C" w14:textId="77777777" w:rsidR="001F786F" w:rsidRDefault="001F786F">
      <w:pPr>
        <w:pStyle w:val="BodyText"/>
        <w:rPr>
          <w:sz w:val="20"/>
        </w:rPr>
      </w:pPr>
    </w:p>
    <w:p w14:paraId="06212543" w14:textId="77777777" w:rsidR="001F786F" w:rsidRDefault="001F786F">
      <w:pPr>
        <w:pStyle w:val="BodyText"/>
        <w:spacing w:before="4"/>
        <w:rPr>
          <w:sz w:val="28"/>
        </w:rPr>
      </w:pPr>
    </w:p>
    <w:p w14:paraId="409F2B12" w14:textId="77777777" w:rsidR="001F786F" w:rsidRDefault="004C1278">
      <w:pPr>
        <w:pStyle w:val="Heading1"/>
        <w:spacing w:line="331" w:lineRule="exact"/>
        <w:ind w:left="4168" w:right="4189" w:firstLine="0"/>
      </w:pPr>
      <w:bookmarkStart w:id="0" w:name="Annex_ZA__(informative)__Relationship_be"/>
      <w:bookmarkEnd w:id="0"/>
      <w:r>
        <w:t>Annex ZA</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2E285E72" w:rsidR="001F786F" w:rsidRPr="00E74982" w:rsidRDefault="00E74982" w:rsidP="00E74982">
      <w:pPr>
        <w:pStyle w:val="BodyText"/>
        <w:spacing w:before="2"/>
        <w:jc w:val="center"/>
        <w:rPr>
          <w:b/>
          <w:sz w:val="32"/>
          <w:szCs w:val="24"/>
        </w:rPr>
      </w:pPr>
      <w:r w:rsidRPr="00E74982">
        <w:rPr>
          <w:b/>
          <w:sz w:val="32"/>
          <w:szCs w:val="24"/>
        </w:rPr>
        <w:t xml:space="preserve">Relationship between this European Standard and the safety requirements of </w:t>
      </w:r>
      <w:bookmarkStart w:id="1" w:name="_Hlk160119201"/>
      <w:r w:rsidR="00E9786D">
        <w:rPr>
          <w:b/>
          <w:sz w:val="32"/>
          <w:szCs w:val="24"/>
        </w:rPr>
        <w:t>Regulation 2023/988/EC</w:t>
      </w:r>
      <w:r w:rsidRPr="00E74982">
        <w:rPr>
          <w:b/>
          <w:sz w:val="32"/>
          <w:szCs w:val="24"/>
        </w:rPr>
        <w:t xml:space="preserve"> </w:t>
      </w:r>
      <w:bookmarkEnd w:id="1"/>
      <w:r w:rsidRPr="00E74982">
        <w:rPr>
          <w:b/>
          <w:sz w:val="32"/>
          <w:szCs w:val="24"/>
        </w:rPr>
        <w:t xml:space="preserve">aimed to be </w:t>
      </w:r>
      <w:proofErr w:type="gramStart"/>
      <w:r w:rsidRPr="00E74982">
        <w:rPr>
          <w:b/>
          <w:sz w:val="32"/>
          <w:szCs w:val="24"/>
        </w:rPr>
        <w:t>covered</w:t>
      </w:r>
      <w:proofErr w:type="gramEnd"/>
    </w:p>
    <w:p w14:paraId="3337C38C" w14:textId="77777777" w:rsidR="001F786F" w:rsidRPr="00E74982" w:rsidRDefault="001F786F">
      <w:pPr>
        <w:pStyle w:val="BodyText"/>
        <w:rPr>
          <w:rFonts w:ascii="Calibri" w:hAnsi="Calibri" w:cs="Calibri"/>
          <w:b/>
          <w:sz w:val="34"/>
        </w:rPr>
      </w:pPr>
    </w:p>
    <w:p w14:paraId="7D558DE0" w14:textId="77777777" w:rsidR="001F786F" w:rsidRPr="00E9786D" w:rsidRDefault="001F786F">
      <w:pPr>
        <w:pStyle w:val="BodyText"/>
        <w:spacing w:before="2"/>
        <w:rPr>
          <w:b/>
          <w:sz w:val="20"/>
          <w:szCs w:val="14"/>
        </w:rPr>
      </w:pPr>
    </w:p>
    <w:p w14:paraId="5630B72B" w14:textId="15E8223C" w:rsidR="001F786F" w:rsidRDefault="004C1278">
      <w:pPr>
        <w:pStyle w:val="BodyText"/>
        <w:ind w:left="176" w:right="194"/>
        <w:jc w:val="both"/>
      </w:pPr>
      <w:r>
        <w:t xml:space="preserve">This European Standard has been prepared under </w:t>
      </w:r>
      <w:r w:rsidRPr="00715FF1">
        <w:t xml:space="preserve">Commission’s standardization request </w:t>
      </w:r>
      <w:r w:rsidRPr="00715FF1">
        <w:rPr>
          <w:color w:val="FF0000"/>
        </w:rPr>
        <w:t>[Full reference to the request “</w:t>
      </w:r>
      <w:r w:rsidR="00E9786D" w:rsidRPr="00715FF1">
        <w:rPr>
          <w:color w:val="FF0000"/>
        </w:rPr>
        <w:t>C(202X) XXXX final</w:t>
      </w:r>
      <w:r w:rsidRPr="00715FF1">
        <w:rPr>
          <w:color w:val="FF0000"/>
        </w:rPr>
        <w:t>”]</w:t>
      </w:r>
      <w:r>
        <w:rPr>
          <w:color w:val="FF0000"/>
        </w:rPr>
        <w:t xml:space="preserve">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rsidR="00E9786D">
        <w:t>Regulation</w:t>
      </w:r>
      <w:r>
        <w:t xml:space="preserve"> </w:t>
      </w:r>
      <w:r w:rsidR="00E9786D">
        <w:t>2023/988</w:t>
      </w:r>
      <w:r w:rsidR="00354440">
        <w:t>/</w:t>
      </w:r>
      <w:r>
        <w:t xml:space="preserve">EC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4B21E0FB" w:rsidR="001F786F" w:rsidRDefault="004C1278">
      <w:pPr>
        <w:pStyle w:val="BodyText"/>
        <w:ind w:left="176" w:right="193" w:hanging="1"/>
        <w:jc w:val="both"/>
      </w:pPr>
      <w:r>
        <w:t xml:space="preserve">Once this standard is cited in the Official Journal of the European Union under that </w:t>
      </w:r>
      <w:r w:rsidR="00E9786D">
        <w:rPr>
          <w:b/>
          <w:bCs/>
        </w:rPr>
        <w:t>Regulation 2023/988/EC</w:t>
      </w:r>
      <w:r>
        <w:t xml:space="preserve">, compliance with the normative clauses of this standard given in Table ZA.1 confers, within the limits of the scope of this standard, a presumption of conformity with the corresponding </w:t>
      </w:r>
      <w:r w:rsidR="00354440">
        <w:t>safety</w:t>
      </w:r>
      <w:r>
        <w:t xml:space="preserve"> requirements of that </w:t>
      </w:r>
      <w:r w:rsidR="004C1922">
        <w:t>Regulation</w:t>
      </w:r>
      <w:r w:rsidR="00E047E5">
        <w:t xml:space="preser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2F047897" w:rsidR="001F786F" w:rsidRDefault="004C1278">
      <w:pPr>
        <w:spacing w:line="213" w:lineRule="auto"/>
        <w:ind w:left="243" w:right="265" w:hanging="4"/>
        <w:jc w:val="center"/>
        <w:rPr>
          <w:b/>
        </w:rPr>
      </w:pPr>
      <w:r>
        <w:rPr>
          <w:b/>
        </w:rPr>
        <w:t xml:space="preserve">Table ZA.1 — Correspondence between this European Standard and Commission </w:t>
      </w:r>
      <w:proofErr w:type="gramStart"/>
      <w:r w:rsidR="00E047E5">
        <w:rPr>
          <w:b/>
        </w:rPr>
        <w:t xml:space="preserve">Decision  </w:t>
      </w:r>
      <w:r>
        <w:rPr>
          <w:b/>
        </w:rPr>
        <w:t>(</w:t>
      </w:r>
      <w:proofErr w:type="gramEnd"/>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w:t>
      </w:r>
      <w:r w:rsidR="00E9786D">
        <w:rPr>
          <w:b/>
        </w:rPr>
        <w:t>Regulation 2023/988/EC</w:t>
      </w:r>
      <w:r>
        <w:rPr>
          <w:b/>
        </w:rPr>
        <w:t xml:space="preserve">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16BAD414"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 </w:t>
            </w:r>
            <w:r w:rsidR="00E047E5">
              <w:rPr>
                <w:b/>
              </w:rPr>
              <w:t xml:space="preserve">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846895" w:rsidRDefault="00E74982" w:rsidP="004C1278">
            <w:pPr>
              <w:rPr>
                <w:color w:val="FF0000"/>
              </w:rPr>
            </w:pPr>
            <w:r>
              <w:rPr>
                <w:color w:val="FF0000"/>
              </w:rPr>
              <w:t>Product and product definition</w:t>
            </w:r>
          </w:p>
        </w:tc>
        <w:tc>
          <w:tcPr>
            <w:tcW w:w="3298" w:type="dxa"/>
          </w:tcPr>
          <w:p w14:paraId="2539ACBE" w14:textId="79D252E3" w:rsidR="004C1278" w:rsidRPr="00846895" w:rsidRDefault="004C1278" w:rsidP="004C1278">
            <w:pPr>
              <w:rPr>
                <w:color w:val="FF0000"/>
              </w:rPr>
            </w:pPr>
            <w:r w:rsidRPr="00846895">
              <w:rPr>
                <w:color w:val="FF0000"/>
              </w:rPr>
              <w:t xml:space="preserve"> </w:t>
            </w:r>
            <w:r w:rsidR="00E74982">
              <w:rPr>
                <w:color w:val="FF0000"/>
              </w:rPr>
              <w:t>Clause X</w:t>
            </w:r>
          </w:p>
        </w:tc>
        <w:tc>
          <w:tcPr>
            <w:tcW w:w="3300" w:type="dxa"/>
          </w:tcPr>
          <w:p w14:paraId="30A4C50C" w14:textId="74A21980" w:rsidR="004C1278" w:rsidRDefault="00E74982" w:rsidP="004C1278">
            <w:r>
              <w:t>XXXX</w:t>
            </w:r>
          </w:p>
        </w:tc>
      </w:tr>
      <w:tr w:rsidR="00E74982" w14:paraId="16A8543B" w14:textId="77777777" w:rsidTr="00E74982">
        <w:trPr>
          <w:trHeight w:hRule="exact" w:val="424"/>
        </w:trPr>
        <w:tc>
          <w:tcPr>
            <w:tcW w:w="3295" w:type="dxa"/>
          </w:tcPr>
          <w:p w14:paraId="6AEC6A71" w14:textId="59D03274" w:rsidR="00E74982" w:rsidRDefault="00E74982" w:rsidP="004C1278">
            <w:pPr>
              <w:rPr>
                <w:color w:val="FF0000"/>
              </w:rPr>
            </w:pPr>
            <w:r>
              <w:rPr>
                <w:color w:val="FF0000"/>
              </w:rPr>
              <w:t>A. General Safety Requirements</w:t>
            </w:r>
          </w:p>
        </w:tc>
        <w:tc>
          <w:tcPr>
            <w:tcW w:w="3298" w:type="dxa"/>
          </w:tcPr>
          <w:p w14:paraId="0ABC5DDA" w14:textId="3B796C88" w:rsidR="00E74982" w:rsidRPr="00846895" w:rsidRDefault="00E74982" w:rsidP="004C1278">
            <w:pPr>
              <w:rPr>
                <w:color w:val="FF0000"/>
              </w:rPr>
            </w:pPr>
            <w:r>
              <w:rPr>
                <w:color w:val="FF0000"/>
              </w:rPr>
              <w:t xml:space="preserve"> Clause Y. YY</w:t>
            </w:r>
          </w:p>
        </w:tc>
        <w:tc>
          <w:tcPr>
            <w:tcW w:w="3300" w:type="dxa"/>
          </w:tcPr>
          <w:p w14:paraId="77691DC7" w14:textId="68E53043" w:rsidR="00E74982" w:rsidRDefault="00E74982" w:rsidP="004C1278">
            <w:r>
              <w:t>YYYY</w:t>
            </w:r>
          </w:p>
        </w:tc>
      </w:tr>
      <w:tr w:rsidR="004C1278" w14:paraId="0801BB64" w14:textId="77777777" w:rsidTr="00E74982">
        <w:trPr>
          <w:trHeight w:hRule="exact" w:val="565"/>
        </w:trPr>
        <w:tc>
          <w:tcPr>
            <w:tcW w:w="3295" w:type="dxa"/>
          </w:tcPr>
          <w:p w14:paraId="7A25D648" w14:textId="25A5DA98"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B. Specific Safety Requirements</w:t>
            </w:r>
          </w:p>
          <w:p w14:paraId="548A3642" w14:textId="0B770439" w:rsidR="004C1278" w:rsidRPr="00846895" w:rsidRDefault="004C1278" w:rsidP="00E74982">
            <w:pPr>
              <w:rPr>
                <w:color w:val="FF0000"/>
              </w:rPr>
            </w:pPr>
          </w:p>
        </w:tc>
        <w:tc>
          <w:tcPr>
            <w:tcW w:w="3298" w:type="dxa"/>
          </w:tcPr>
          <w:p w14:paraId="55506D59" w14:textId="2DA4D40E" w:rsidR="004C1278" w:rsidRPr="00846895" w:rsidRDefault="004C1278" w:rsidP="004C1278">
            <w:pPr>
              <w:rPr>
                <w:color w:val="FF0000"/>
              </w:rPr>
            </w:pPr>
          </w:p>
        </w:tc>
        <w:tc>
          <w:tcPr>
            <w:tcW w:w="3300" w:type="dxa"/>
          </w:tcPr>
          <w:p w14:paraId="097FD457" w14:textId="77777777" w:rsidR="004C1278" w:rsidRDefault="004C1278" w:rsidP="004C1278"/>
        </w:tc>
      </w:tr>
      <w:tr w:rsidR="00E74982" w14:paraId="22174E97" w14:textId="77777777" w:rsidTr="00E74982">
        <w:trPr>
          <w:trHeight w:hRule="exact" w:val="1692"/>
        </w:trPr>
        <w:tc>
          <w:tcPr>
            <w:tcW w:w="3295" w:type="dxa"/>
          </w:tcPr>
          <w:p w14:paraId="66F732E1" w14:textId="77777777"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B. (a) Entrapment hazards from gaps and openings</w:t>
            </w:r>
          </w:p>
          <w:p w14:paraId="3467C17F" w14:textId="77777777" w:rsidR="00E74982" w:rsidRPr="00E9786D" w:rsidRDefault="00E74982" w:rsidP="00E74982">
            <w:pPr>
              <w:pStyle w:val="Default"/>
              <w:spacing w:after="240"/>
              <w:rPr>
                <w:rFonts w:eastAsia="Cambria"/>
                <w:color w:val="FF0000"/>
                <w:sz w:val="22"/>
                <w:szCs w:val="22"/>
                <w:lang w:val="en-US"/>
              </w:rPr>
            </w:pPr>
            <w:r w:rsidRPr="00E9786D">
              <w:rPr>
                <w:rFonts w:eastAsia="Cambria"/>
                <w:color w:val="FF0000"/>
                <w:sz w:val="22"/>
                <w:szCs w:val="22"/>
                <w:lang w:val="en-US"/>
              </w:rPr>
              <w:t>Please note that the safety requirements should be written explicitly.</w:t>
            </w:r>
          </w:p>
          <w:p w14:paraId="07FD72D1" w14:textId="48BBC812" w:rsidR="00E74982" w:rsidRPr="00E9786D" w:rsidRDefault="00E74982" w:rsidP="00E74982">
            <w:pPr>
              <w:pStyle w:val="Default"/>
              <w:spacing w:after="240"/>
              <w:rPr>
                <w:rFonts w:eastAsia="Cambria"/>
                <w:color w:val="FF0000"/>
                <w:sz w:val="22"/>
                <w:szCs w:val="22"/>
                <w:lang w:val="en-US"/>
              </w:rPr>
            </w:pPr>
          </w:p>
        </w:tc>
        <w:tc>
          <w:tcPr>
            <w:tcW w:w="3298" w:type="dxa"/>
          </w:tcPr>
          <w:p w14:paraId="212A6D75" w14:textId="3C45705A" w:rsidR="00E74982" w:rsidRPr="00846895" w:rsidRDefault="00E74982" w:rsidP="004C1278">
            <w:pPr>
              <w:rPr>
                <w:color w:val="FF0000"/>
              </w:rPr>
            </w:pPr>
            <w:r>
              <w:rPr>
                <w:color w:val="FF0000"/>
              </w:rPr>
              <w:t>Clause a. aa</w:t>
            </w:r>
          </w:p>
        </w:tc>
        <w:tc>
          <w:tcPr>
            <w:tcW w:w="3300" w:type="dxa"/>
          </w:tcPr>
          <w:p w14:paraId="73B5D773" w14:textId="77777777" w:rsidR="00E74982" w:rsidRDefault="00E74982" w:rsidP="004C1278"/>
        </w:tc>
      </w:tr>
    </w:tbl>
    <w:p w14:paraId="371BE35B" w14:textId="77777777" w:rsidR="001F786F" w:rsidRPr="00E9786D" w:rsidRDefault="004C1278">
      <w:pPr>
        <w:pStyle w:val="BodyText"/>
        <w:spacing w:before="194"/>
        <w:ind w:left="175"/>
        <w:jc w:val="both"/>
        <w:rPr>
          <w:sz w:val="20"/>
          <w:szCs w:val="20"/>
        </w:rPr>
      </w:pPr>
      <w:r w:rsidRPr="00E9786D">
        <w:rPr>
          <w:color w:val="FF0000"/>
          <w:sz w:val="20"/>
          <w:szCs w:val="20"/>
        </w:rPr>
        <w:t>[NOTE to the drafter, to be removed before publication:</w:t>
      </w:r>
    </w:p>
    <w:p w14:paraId="43EDE6DC" w14:textId="77777777" w:rsidR="001F786F" w:rsidRPr="00E9786D" w:rsidRDefault="001F786F">
      <w:pPr>
        <w:pStyle w:val="BodyText"/>
        <w:spacing w:before="4"/>
        <w:rPr>
          <w:sz w:val="18"/>
          <w:szCs w:val="20"/>
        </w:rPr>
      </w:pPr>
    </w:p>
    <w:p w14:paraId="5B77E17C" w14:textId="1DFDDA9A" w:rsidR="001F786F" w:rsidRPr="00E9786D" w:rsidRDefault="004C1278" w:rsidP="00846895">
      <w:pPr>
        <w:pStyle w:val="BodyText"/>
        <w:ind w:left="175" w:right="196"/>
        <w:jc w:val="both"/>
        <w:rPr>
          <w:sz w:val="20"/>
          <w:szCs w:val="20"/>
        </w:rPr>
      </w:pPr>
      <w:r w:rsidRPr="00E9786D">
        <w:rPr>
          <w:color w:val="FF0000"/>
          <w:sz w:val="20"/>
          <w:szCs w:val="20"/>
        </w:rPr>
        <w:t>This table can be used to accommodate all possible cases and independently how detailed correspondence is established or is possible to give:</w:t>
      </w:r>
    </w:p>
    <w:p w14:paraId="21122BD0" w14:textId="590C7520" w:rsidR="001F786F" w:rsidRPr="00E9786D" w:rsidRDefault="004C1278">
      <w:pPr>
        <w:pStyle w:val="ListParagraph"/>
        <w:numPr>
          <w:ilvl w:val="0"/>
          <w:numId w:val="1"/>
        </w:numPr>
        <w:tabs>
          <w:tab w:val="left" w:pos="535"/>
          <w:tab w:val="left" w:pos="536"/>
        </w:tabs>
        <w:ind w:right="195" w:hanging="359"/>
        <w:rPr>
          <w:sz w:val="20"/>
          <w:szCs w:val="20"/>
        </w:rPr>
      </w:pPr>
      <w:r w:rsidRPr="00E9786D">
        <w:rPr>
          <w:color w:val="FF0000"/>
          <w:sz w:val="20"/>
          <w:szCs w:val="20"/>
        </w:rPr>
        <w:t>to declare the correspondence with a general statement ‘all requirements are covered’ by complying ‘all (or indicated) clauses’ (then the table would contain only one</w:t>
      </w:r>
      <w:r w:rsidRPr="00E9786D">
        <w:rPr>
          <w:color w:val="FF0000"/>
          <w:spacing w:val="-29"/>
          <w:sz w:val="20"/>
          <w:szCs w:val="20"/>
        </w:rPr>
        <w:t xml:space="preserve"> </w:t>
      </w:r>
      <w:r w:rsidRPr="00E9786D">
        <w:rPr>
          <w:color w:val="FF0000"/>
          <w:sz w:val="20"/>
          <w:szCs w:val="20"/>
        </w:rPr>
        <w:t>row);</w:t>
      </w:r>
    </w:p>
    <w:p w14:paraId="51279544" w14:textId="77777777" w:rsidR="001F786F" w:rsidRPr="00E9786D" w:rsidRDefault="004C1278">
      <w:pPr>
        <w:pStyle w:val="ListParagraph"/>
        <w:numPr>
          <w:ilvl w:val="0"/>
          <w:numId w:val="1"/>
        </w:numPr>
        <w:tabs>
          <w:tab w:val="left" w:pos="536"/>
        </w:tabs>
        <w:spacing w:line="257" w:lineRule="exact"/>
        <w:ind w:hanging="359"/>
        <w:jc w:val="both"/>
        <w:rPr>
          <w:sz w:val="20"/>
          <w:szCs w:val="20"/>
        </w:rPr>
      </w:pPr>
      <w:r w:rsidRPr="00E9786D">
        <w:rPr>
          <w:color w:val="FF0000"/>
          <w:sz w:val="20"/>
          <w:szCs w:val="20"/>
        </w:rPr>
        <w:t>to</w:t>
      </w:r>
      <w:r w:rsidRPr="00E9786D">
        <w:rPr>
          <w:color w:val="FF0000"/>
          <w:spacing w:val="-3"/>
          <w:sz w:val="20"/>
          <w:szCs w:val="20"/>
        </w:rPr>
        <w:t xml:space="preserve"> </w:t>
      </w:r>
      <w:r w:rsidRPr="00E9786D">
        <w:rPr>
          <w:color w:val="FF0000"/>
          <w:sz w:val="20"/>
          <w:szCs w:val="20"/>
        </w:rPr>
        <w:t>declare</w:t>
      </w:r>
      <w:r w:rsidRPr="00E9786D">
        <w:rPr>
          <w:color w:val="FF0000"/>
          <w:spacing w:val="-3"/>
          <w:sz w:val="20"/>
          <w:szCs w:val="20"/>
        </w:rPr>
        <w:t xml:space="preserve"> </w:t>
      </w:r>
      <w:r w:rsidRPr="00E9786D">
        <w:rPr>
          <w:color w:val="FF0000"/>
          <w:sz w:val="20"/>
          <w:szCs w:val="20"/>
        </w:rPr>
        <w:t>more</w:t>
      </w:r>
      <w:r w:rsidRPr="00E9786D">
        <w:rPr>
          <w:color w:val="FF0000"/>
          <w:spacing w:val="-3"/>
          <w:sz w:val="20"/>
          <w:szCs w:val="20"/>
        </w:rPr>
        <w:t xml:space="preserve"> </w:t>
      </w:r>
      <w:r w:rsidRPr="00E9786D">
        <w:rPr>
          <w:color w:val="FF0000"/>
          <w:sz w:val="20"/>
          <w:szCs w:val="20"/>
        </w:rPr>
        <w:t>detailed</w:t>
      </w:r>
      <w:r w:rsidRPr="00E9786D">
        <w:rPr>
          <w:color w:val="FF0000"/>
          <w:spacing w:val="-3"/>
          <w:sz w:val="20"/>
          <w:szCs w:val="20"/>
        </w:rPr>
        <w:t xml:space="preserve"> </w:t>
      </w:r>
      <w:r w:rsidRPr="00E9786D">
        <w:rPr>
          <w:color w:val="FF0000"/>
          <w:sz w:val="20"/>
          <w:szCs w:val="20"/>
        </w:rPr>
        <w:t>correspondence</w:t>
      </w:r>
      <w:r w:rsidRPr="00E9786D">
        <w:rPr>
          <w:color w:val="FF0000"/>
          <w:spacing w:val="-3"/>
          <w:sz w:val="20"/>
          <w:szCs w:val="20"/>
        </w:rPr>
        <w:t xml:space="preserve"> </w:t>
      </w:r>
      <w:r w:rsidRPr="00E9786D">
        <w:rPr>
          <w:color w:val="FF0000"/>
          <w:sz w:val="20"/>
          <w:szCs w:val="20"/>
        </w:rPr>
        <w:t>(then</w:t>
      </w:r>
      <w:r w:rsidRPr="00E9786D">
        <w:rPr>
          <w:color w:val="FF0000"/>
          <w:spacing w:val="-4"/>
          <w:sz w:val="20"/>
          <w:szCs w:val="20"/>
        </w:rPr>
        <w:t xml:space="preserve"> </w:t>
      </w:r>
      <w:r w:rsidRPr="00E9786D">
        <w:rPr>
          <w:color w:val="FF0000"/>
          <w:sz w:val="20"/>
          <w:szCs w:val="20"/>
        </w:rPr>
        <w:t>the</w:t>
      </w:r>
      <w:r w:rsidRPr="00E9786D">
        <w:rPr>
          <w:color w:val="FF0000"/>
          <w:spacing w:val="-3"/>
          <w:sz w:val="20"/>
          <w:szCs w:val="20"/>
        </w:rPr>
        <w:t xml:space="preserve"> </w:t>
      </w:r>
      <w:r w:rsidRPr="00E9786D">
        <w:rPr>
          <w:color w:val="FF0000"/>
          <w:sz w:val="20"/>
          <w:szCs w:val="20"/>
        </w:rPr>
        <w:t>table</w:t>
      </w:r>
      <w:r w:rsidRPr="00E9786D">
        <w:rPr>
          <w:color w:val="FF0000"/>
          <w:spacing w:val="-3"/>
          <w:sz w:val="20"/>
          <w:szCs w:val="20"/>
        </w:rPr>
        <w:t xml:space="preserve"> </w:t>
      </w:r>
      <w:r w:rsidRPr="00E9786D">
        <w:rPr>
          <w:color w:val="FF0000"/>
          <w:sz w:val="20"/>
          <w:szCs w:val="20"/>
        </w:rPr>
        <w:t>would</w:t>
      </w:r>
      <w:r w:rsidRPr="00E9786D">
        <w:rPr>
          <w:color w:val="FF0000"/>
          <w:spacing w:val="-5"/>
          <w:sz w:val="20"/>
          <w:szCs w:val="20"/>
        </w:rPr>
        <w:t xml:space="preserve"> </w:t>
      </w:r>
      <w:r w:rsidRPr="00E9786D">
        <w:rPr>
          <w:color w:val="FF0000"/>
          <w:sz w:val="20"/>
          <w:szCs w:val="20"/>
        </w:rPr>
        <w:t>contain</w:t>
      </w:r>
      <w:r w:rsidRPr="00E9786D">
        <w:rPr>
          <w:color w:val="FF0000"/>
          <w:spacing w:val="-4"/>
          <w:sz w:val="20"/>
          <w:szCs w:val="20"/>
        </w:rPr>
        <w:t xml:space="preserve"> </w:t>
      </w:r>
      <w:r w:rsidRPr="00E9786D">
        <w:rPr>
          <w:color w:val="FF0000"/>
          <w:sz w:val="20"/>
          <w:szCs w:val="20"/>
        </w:rPr>
        <w:t>as</w:t>
      </w:r>
      <w:r w:rsidRPr="00E9786D">
        <w:rPr>
          <w:color w:val="FF0000"/>
          <w:spacing w:val="-4"/>
          <w:sz w:val="20"/>
          <w:szCs w:val="20"/>
        </w:rPr>
        <w:t xml:space="preserve"> </w:t>
      </w:r>
      <w:r w:rsidRPr="00E9786D">
        <w:rPr>
          <w:color w:val="FF0000"/>
          <w:sz w:val="20"/>
          <w:szCs w:val="20"/>
        </w:rPr>
        <w:t>many</w:t>
      </w:r>
      <w:r w:rsidRPr="00E9786D">
        <w:rPr>
          <w:color w:val="FF0000"/>
          <w:spacing w:val="-4"/>
          <w:sz w:val="20"/>
          <w:szCs w:val="20"/>
        </w:rPr>
        <w:t xml:space="preserve"> </w:t>
      </w:r>
      <w:r w:rsidRPr="00E9786D">
        <w:rPr>
          <w:color w:val="FF0000"/>
          <w:sz w:val="20"/>
          <w:szCs w:val="20"/>
        </w:rPr>
        <w:t>rows</w:t>
      </w:r>
      <w:r w:rsidRPr="00E9786D">
        <w:rPr>
          <w:color w:val="FF0000"/>
          <w:spacing w:val="-2"/>
          <w:sz w:val="20"/>
          <w:szCs w:val="20"/>
        </w:rPr>
        <w:t xml:space="preserve"> </w:t>
      </w:r>
      <w:r w:rsidRPr="00E9786D">
        <w:rPr>
          <w:color w:val="FF0000"/>
          <w:sz w:val="20"/>
          <w:szCs w:val="20"/>
        </w:rPr>
        <w:t>as</w:t>
      </w:r>
      <w:r w:rsidRPr="00E9786D">
        <w:rPr>
          <w:color w:val="FF0000"/>
          <w:spacing w:val="-2"/>
          <w:sz w:val="20"/>
          <w:szCs w:val="20"/>
        </w:rPr>
        <w:t xml:space="preserve"> </w:t>
      </w:r>
      <w:r w:rsidRPr="00E9786D">
        <w:rPr>
          <w:color w:val="FF0000"/>
          <w:sz w:val="20"/>
          <w:szCs w:val="20"/>
        </w:rPr>
        <w:t>needed).]</w:t>
      </w:r>
    </w:p>
    <w:p w14:paraId="76962F36" w14:textId="77777777" w:rsidR="001F786F" w:rsidRDefault="001F786F">
      <w:pPr>
        <w:pStyle w:val="BodyText"/>
        <w:spacing w:before="7"/>
        <w:rPr>
          <w:sz w:val="20"/>
        </w:rPr>
      </w:pPr>
    </w:p>
    <w:p w14:paraId="7A9E1ED4" w14:textId="21F1EC8C" w:rsidR="001F786F" w:rsidRPr="00E9786D" w:rsidRDefault="004C1278">
      <w:pPr>
        <w:pStyle w:val="BodyText"/>
        <w:ind w:left="175" w:right="194"/>
        <w:jc w:val="both"/>
        <w:rPr>
          <w:sz w:val="20"/>
          <w:szCs w:val="20"/>
        </w:rPr>
      </w:pPr>
      <w:r w:rsidRPr="00E9786D">
        <w:rPr>
          <w:b/>
          <w:sz w:val="20"/>
          <w:szCs w:val="20"/>
        </w:rPr>
        <w:t xml:space="preserve">WARNING 1 — </w:t>
      </w:r>
      <w:r w:rsidRPr="00E9786D">
        <w:rPr>
          <w:sz w:val="20"/>
          <w:szCs w:val="20"/>
        </w:rPr>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1F11A0BB" w14:textId="77777777" w:rsidR="001F786F" w:rsidRDefault="001F786F">
      <w:pPr>
        <w:pStyle w:val="BodyText"/>
        <w:spacing w:before="6"/>
        <w:rPr>
          <w:sz w:val="20"/>
        </w:rPr>
      </w:pPr>
    </w:p>
    <w:p w14:paraId="24AB509D" w14:textId="0F6900CC" w:rsidR="001F786F" w:rsidRPr="00E9786D" w:rsidRDefault="004C1278" w:rsidP="00E9786D">
      <w:pPr>
        <w:pStyle w:val="BodyText"/>
        <w:spacing w:before="1"/>
        <w:ind w:left="175" w:right="191"/>
        <w:jc w:val="both"/>
        <w:rPr>
          <w:sz w:val="20"/>
          <w:szCs w:val="20"/>
        </w:rPr>
      </w:pPr>
      <w:r w:rsidRPr="00E9786D">
        <w:rPr>
          <w:b/>
          <w:sz w:val="20"/>
          <w:szCs w:val="20"/>
        </w:rPr>
        <w:t xml:space="preserve">WARNING 2 — </w:t>
      </w:r>
      <w:r w:rsidRPr="00E9786D">
        <w:rPr>
          <w:sz w:val="20"/>
          <w:szCs w:val="20"/>
        </w:rPr>
        <w:t>Other Union legislation may be applicable to the products falling within the scope of this standard.</w:t>
      </w:r>
    </w:p>
    <w:sectPr w:rsidR="001F786F" w:rsidRPr="00E9786D">
      <w:type w:val="continuous"/>
      <w:pgSz w:w="11910" w:h="16840"/>
      <w:pgMar w:top="560" w:right="5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58A7" w14:textId="77777777" w:rsidR="00E9786D" w:rsidRDefault="00E9786D" w:rsidP="00E9786D">
      <w:r>
        <w:separator/>
      </w:r>
    </w:p>
  </w:endnote>
  <w:endnote w:type="continuationSeparator" w:id="0">
    <w:p w14:paraId="354AD0A6" w14:textId="77777777" w:rsidR="00E9786D" w:rsidRDefault="00E9786D" w:rsidP="00E9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E7CA" w14:textId="77777777" w:rsidR="00E9786D" w:rsidRDefault="00E9786D" w:rsidP="00E9786D">
      <w:r>
        <w:separator/>
      </w:r>
    </w:p>
  </w:footnote>
  <w:footnote w:type="continuationSeparator" w:id="0">
    <w:p w14:paraId="3C329145" w14:textId="77777777" w:rsidR="00E9786D" w:rsidRDefault="00E9786D" w:rsidP="00E9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16cid:durableId="28646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1F786F"/>
    <w:rsid w:val="00354440"/>
    <w:rsid w:val="00434106"/>
    <w:rsid w:val="004C1278"/>
    <w:rsid w:val="004C1922"/>
    <w:rsid w:val="00715FF1"/>
    <w:rsid w:val="00846895"/>
    <w:rsid w:val="0096344F"/>
    <w:rsid w:val="00A873A3"/>
    <w:rsid w:val="00AF1757"/>
    <w:rsid w:val="00D36203"/>
    <w:rsid w:val="00D61D33"/>
    <w:rsid w:val="00E047E5"/>
    <w:rsid w:val="00E74982"/>
    <w:rsid w:val="00E9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E9786D"/>
    <w:rPr>
      <w:sz w:val="20"/>
      <w:szCs w:val="20"/>
    </w:rPr>
  </w:style>
  <w:style w:type="character" w:customStyle="1" w:styleId="FootnoteTextChar">
    <w:name w:val="Footnote Text Char"/>
    <w:basedOn w:val="DefaultParagraphFont"/>
    <w:link w:val="FootnoteText"/>
    <w:uiPriority w:val="99"/>
    <w:semiHidden/>
    <w:rsid w:val="00E9786D"/>
    <w:rPr>
      <w:rFonts w:ascii="Cambria" w:eastAsia="Cambria" w:hAnsi="Cambria" w:cs="Cambria"/>
      <w:sz w:val="20"/>
      <w:szCs w:val="20"/>
    </w:rPr>
  </w:style>
  <w:style w:type="character" w:styleId="FootnoteReference">
    <w:name w:val="footnote reference"/>
    <w:basedOn w:val="DefaultParagraphFont"/>
    <w:uiPriority w:val="99"/>
    <w:semiHidden/>
    <w:unhideWhenUsed/>
    <w:rsid w:val="00E97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CEF4-21C4-4CC2-9592-6843227D1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E95D-0506-41B8-898F-114735FFFCE0}">
  <ds:schemaRefs>
    <ds:schemaRef ds:uri="http://schemas.microsoft.com/sharepoint/v3/contenttype/forms"/>
  </ds:schemaRefs>
</ds:datastoreItem>
</file>

<file path=customXml/itemProps3.xml><?xml version="1.0" encoding="utf-8"?>
<ds:datastoreItem xmlns:ds="http://schemas.openxmlformats.org/officeDocument/2006/customXml" ds:itemID="{F8007AEB-9F91-4F9B-ABA9-9F16E4E6BCA7}">
  <ds:schemaRefs>
    <ds:schemaRef ds:uri="http://schemas.microsoft.com/office/2006/metadata/properties"/>
  </ds:schemaRefs>
</ds:datastoreItem>
</file>

<file path=customXml/itemProps4.xml><?xml version="1.0" encoding="utf-8"?>
<ds:datastoreItem xmlns:ds="http://schemas.openxmlformats.org/officeDocument/2006/customXml" ds:itemID="{9CAEEA2E-9FC2-4967-AA19-24DD4369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Dalier Claire</cp:lastModifiedBy>
  <cp:revision>6</cp:revision>
  <dcterms:created xsi:type="dcterms:W3CDTF">2020-06-05T13:55:00Z</dcterms:created>
  <dcterms:modified xsi:type="dcterms:W3CDTF">2024-03-18T13:59:00Z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